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23.12.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65/2-пг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FC1101">
            <w:pPr>
              <w:spacing w:after="0" w:line="240" w:lineRule="auto"/>
              <w:ind w:right="4122"/>
              <w:jc w:val="both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 «Обеспечение первичных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обеспечения первичных мер пожарной безопасности населенных пунктов сельского</w:t>
      </w:r>
      <w:proofErr w:type="gramEnd"/>
      <w:r w:rsidR="007331CC" w:rsidRPr="00347C85">
        <w:rPr>
          <w:rFonts w:ascii="Times New Roman" w:hAnsi="Times New Roman"/>
          <w:sz w:val="27"/>
          <w:szCs w:val="27"/>
        </w:rPr>
        <w:t xml:space="preserve"> поселения: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965ADD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965ADD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Pr="00347C85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«Обеспечение первичных мер пожарной безопасности в границах населенных пунктов 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.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47C85">
        <w:rPr>
          <w:rFonts w:ascii="Times New Roman" w:hAnsi="Times New Roman" w:cs="Times New Roman"/>
        </w:rPr>
        <w:t>23.12.</w:t>
      </w:r>
      <w:r w:rsidRPr="00FC1101">
        <w:rPr>
          <w:rFonts w:ascii="Times New Roman" w:hAnsi="Times New Roman" w:cs="Times New Roman"/>
        </w:rPr>
        <w:t>2016г  №</w:t>
      </w:r>
      <w:r w:rsidR="00347C85">
        <w:rPr>
          <w:rFonts w:ascii="Times New Roman" w:hAnsi="Times New Roman" w:cs="Times New Roman"/>
        </w:rPr>
        <w:t xml:space="preserve"> 65/2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5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gramStart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системы противопожарной защиты 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сельского поселения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FC1101" w:rsidRPr="00FC1101" w:rsidTr="00347C85">
        <w:trPr>
          <w:trHeight w:val="9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C1101" w:rsidRPr="008214EF" w:rsidRDefault="00D641E4" w:rsidP="00D641E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Привлечение широких слоев населения к реализации мер по обеспечению мер пожарной безопасности.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CC5CE4" w:rsidP="00C56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</w:t>
            </w:r>
            <w:r w:rsidR="00C56FC0">
              <w:rPr>
                <w:rFonts w:ascii="Times New Roman" w:hAnsi="Times New Roman" w:cs="Times New Roman"/>
                <w:sz w:val="24"/>
                <w:szCs w:val="24"/>
              </w:rPr>
              <w:t>, обеспечение необходимых условий для предотвращения чрезвычайных ситуаций.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2017 год - 35,0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2018 год - 35,0 тыс. рублей;</w:t>
            </w:r>
          </w:p>
          <w:p w:rsidR="00FC110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2019 год - 35,0 тыс. рублей</w:t>
            </w:r>
          </w:p>
        </w:tc>
      </w:tr>
      <w:tr w:rsidR="00FC1101" w:rsidRPr="00FC1101" w:rsidTr="00347C85">
        <w:trPr>
          <w:trHeight w:val="17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E4" w:rsidRPr="008214EF" w:rsidRDefault="00CC5CE4" w:rsidP="00632931">
            <w:pPr>
              <w:autoSpaceDE w:val="0"/>
              <w:autoSpaceDN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пожаров, в том числе обусловленных бытовыми причинами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уменьш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травмированных при пожаре людей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материальных потерь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101" w:rsidRP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культуры пожарной безопасности среди населения.</w:t>
            </w:r>
          </w:p>
        </w:tc>
      </w:tr>
    </w:tbl>
    <w:p w:rsidR="00FC1101" w:rsidRP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Обеспечение первичных мер  пожарной   безопасности  - это условия сохранения жизни и здоровья людей, а также объектов и материальных ценностей от пожаров.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 пожарной   безопасности.</w:t>
      </w:r>
    </w:p>
    <w:p w:rsidR="00FC1101" w:rsidRPr="00311B0F" w:rsidRDefault="00CC5CE4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Азей</w:t>
      </w:r>
      <w:r w:rsidR="00FC1101" w:rsidRPr="00311B0F">
        <w:rPr>
          <w:rFonts w:ascii="Times New Roman" w:hAnsi="Times New Roman" w:cs="Times New Roman"/>
          <w:sz w:val="24"/>
        </w:rPr>
        <w:t>ское сельское поселение имеет</w:t>
      </w:r>
      <w:r w:rsidRPr="00311B0F">
        <w:rPr>
          <w:rFonts w:ascii="Times New Roman" w:hAnsi="Times New Roman" w:cs="Times New Roman"/>
          <w:sz w:val="24"/>
        </w:rPr>
        <w:t xml:space="preserve"> первичные средства пожаротушения</w:t>
      </w:r>
      <w:r w:rsidR="00FC1101" w:rsidRPr="00311B0F">
        <w:rPr>
          <w:rFonts w:ascii="Times New Roman" w:hAnsi="Times New Roman" w:cs="Times New Roman"/>
          <w:sz w:val="24"/>
        </w:rPr>
        <w:t>:</w:t>
      </w:r>
    </w:p>
    <w:p w:rsidR="00FC1101" w:rsidRPr="00311B0F" w:rsidRDefault="00FC1101" w:rsidP="00FC1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мотопомпа в комплекте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>ранцы противопожарные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 xml:space="preserve">огнетушители. </w:t>
      </w:r>
      <w:r w:rsidR="00CC5CE4" w:rsidRPr="00311B0F">
        <w:rPr>
          <w:rFonts w:ascii="Times New Roman" w:hAnsi="Times New Roman" w:cs="Times New Roman"/>
          <w:sz w:val="24"/>
        </w:rPr>
        <w:t>В населенных пунктах с.Азей и д.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="00CC5CE4" w:rsidRPr="00311B0F">
        <w:rPr>
          <w:rFonts w:ascii="Times New Roman" w:hAnsi="Times New Roman" w:cs="Times New Roman"/>
          <w:sz w:val="24"/>
        </w:rPr>
        <w:t>Нюра установлены ем</w:t>
      </w:r>
      <w:r w:rsidR="006202FA" w:rsidRPr="00311B0F">
        <w:rPr>
          <w:rFonts w:ascii="Times New Roman" w:hAnsi="Times New Roman" w:cs="Times New Roman"/>
          <w:sz w:val="24"/>
        </w:rPr>
        <w:t xml:space="preserve">кости (80 куб.м.) для заправки пожарных машин, пожарные сирены. 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FC1101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Для стабилизации обстановки с пожарами администрацией </w:t>
      </w:r>
      <w:r w:rsidR="00CC5CE4" w:rsidRPr="00311B0F">
        <w:rPr>
          <w:rFonts w:ascii="Times New Roman" w:hAnsi="Times New Roman" w:cs="Times New Roman"/>
          <w:sz w:val="24"/>
        </w:rPr>
        <w:t>Азей</w:t>
      </w:r>
      <w:r w:rsidRPr="00311B0F">
        <w:rPr>
          <w:rFonts w:ascii="Times New Roman" w:hAnsi="Times New Roman" w:cs="Times New Roman"/>
          <w:sz w:val="24"/>
        </w:rPr>
        <w:t>ского сельского поселения ведется определенная работа</w:t>
      </w:r>
      <w:r w:rsidR="006202FA" w:rsidRPr="00311B0F">
        <w:rPr>
          <w:rFonts w:ascii="Times New Roman" w:hAnsi="Times New Roman" w:cs="Times New Roman"/>
          <w:sz w:val="24"/>
        </w:rPr>
        <w:t>:</w:t>
      </w:r>
    </w:p>
    <w:p w:rsidR="00311B0F" w:rsidRPr="00311B0F" w:rsidRDefault="00311B0F" w:rsidP="00311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311B0F">
        <w:rPr>
          <w:rFonts w:ascii="Times New Roman" w:hAnsi="Times New Roman" w:cs="Times New Roman"/>
          <w:sz w:val="24"/>
        </w:rPr>
        <w:t>а территории Азейского сельского поселения создана добровольная пожарная дружина, принимающая непосредственное участие в тушении пожаров</w:t>
      </w:r>
      <w:r>
        <w:rPr>
          <w:rFonts w:ascii="Times New Roman" w:hAnsi="Times New Roman" w:cs="Times New Roman"/>
          <w:sz w:val="24"/>
        </w:rPr>
        <w:t>;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02FA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ведется периодическое освещение информации документов по указанной тематике  путем опубликования в газете «</w:t>
      </w:r>
      <w:r w:rsidR="006202FA" w:rsidRPr="00311B0F">
        <w:rPr>
          <w:rFonts w:ascii="Times New Roman" w:hAnsi="Times New Roman" w:cs="Times New Roman"/>
          <w:sz w:val="24"/>
        </w:rPr>
        <w:t>Азейский вестник</w:t>
      </w:r>
      <w:r w:rsidRPr="00311B0F">
        <w:rPr>
          <w:rFonts w:ascii="Times New Roman" w:hAnsi="Times New Roman" w:cs="Times New Roman"/>
          <w:sz w:val="24"/>
        </w:rPr>
        <w:t>»</w:t>
      </w:r>
      <w:r w:rsidR="006202FA" w:rsidRPr="00311B0F">
        <w:rPr>
          <w:rFonts w:ascii="Times New Roman" w:hAnsi="Times New Roman" w:cs="Times New Roman"/>
          <w:sz w:val="24"/>
        </w:rPr>
        <w:t>, на официальном сайте в сети «Интернет", проводится подворовой обход с выдачей памяток</w:t>
      </w:r>
      <w:r w:rsidR="00311B0F" w:rsidRPr="00311B0F">
        <w:rPr>
          <w:rFonts w:ascii="Times New Roman" w:hAnsi="Times New Roman" w:cs="Times New Roman"/>
          <w:sz w:val="24"/>
        </w:rPr>
        <w:t>;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проводятся совещания, заседания комиссии по обеспечению пожарной безопасности с руководителями </w:t>
      </w:r>
      <w:r w:rsidR="00311B0F" w:rsidRPr="00311B0F">
        <w:rPr>
          <w:rFonts w:ascii="Times New Roman" w:hAnsi="Times New Roman" w:cs="Times New Roman"/>
          <w:sz w:val="24"/>
        </w:rPr>
        <w:t>организаций и учреждений.</w:t>
      </w:r>
    </w:p>
    <w:p w:rsidR="00FC1101" w:rsidRDefault="00FC1101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Данная Программа в своей основе предусматривает мероприятия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по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</w:rPr>
        <w:t>устройству защитных противопожарных полос</w:t>
      </w:r>
      <w:r w:rsidRP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  <w:sz w:val="24"/>
        </w:rPr>
        <w:t xml:space="preserve">населенных пунктов, приобретение дополнительных средств пожаротушения, </w:t>
      </w:r>
      <w:r w:rsidRPr="00311B0F">
        <w:rPr>
          <w:rFonts w:ascii="Times New Roman" w:hAnsi="Times New Roman" w:cs="Times New Roman"/>
          <w:sz w:val="24"/>
        </w:rPr>
        <w:t>в результате чего повысится противопожарная безопасность.</w:t>
      </w:r>
    </w:p>
    <w:p w:rsidR="00311B0F" w:rsidRPr="00311B0F" w:rsidRDefault="00311B0F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311B0F" w:rsidRPr="00660020">
        <w:rPr>
          <w:rFonts w:ascii="Times New Roman" w:hAnsi="Times New Roman" w:cs="Times New Roman"/>
          <w:sz w:val="24"/>
        </w:rPr>
        <w:t xml:space="preserve">усиление  системы противопожарной защиты  в границах населенных пунктов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  <w:r w:rsidRPr="00660020">
        <w:rPr>
          <w:rFonts w:ascii="Times New Roman" w:hAnsi="Times New Roman" w:cs="Times New Roman"/>
          <w:sz w:val="24"/>
        </w:rPr>
        <w:t xml:space="preserve"> Для достижения  этих целей необходимо решение  следующих задач: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660020">
        <w:rPr>
          <w:rFonts w:ascii="Times New Roman" w:hAnsi="Times New Roman" w:cs="Times New Roman"/>
          <w:sz w:val="24"/>
        </w:rPr>
        <w:t>- Обеспечение необходимых условий для реализации мер пожарной безопасности, защиты жизни и здоровья граждан, материальных ценностей;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сельского поселения;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Привлечение широких слоев населения к реализации мер по обеспечению мер пожарной безопасности.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-  Повышение готовности добровольной пожарной дружины. 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 Устройство защитных противопожарных полос (опашка).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lastRenderedPageBreak/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 w:rsidP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0"/>
              </w:rPr>
              <w:t>Устройство защитных противопожарных полос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214EF">
              <w:rPr>
                <w:rFonts w:ascii="Times New Roman" w:hAnsi="Times New Roman"/>
                <w:b/>
              </w:rPr>
              <w:t>105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101" w:rsidRPr="008214EF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программы предусматривают: </w:t>
      </w:r>
    </w:p>
    <w:p w:rsidR="008214EF" w:rsidRPr="008214EF" w:rsidRDefault="008214EF" w:rsidP="008214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214EF">
        <w:rPr>
          <w:rFonts w:ascii="Times New Roman" w:hAnsi="Times New Roman" w:cs="Times New Roman"/>
          <w:sz w:val="24"/>
          <w:szCs w:val="24"/>
        </w:rPr>
        <w:t>- сокращение количества пожаров, в том числе обусловленных бытовыми причинами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уменьшение количества травмированных при пожаре людей и материальных потерь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01" w:rsidRP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повышение уровня культуры пожарной безопасности среди населения.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0972A5" w:rsidRDefault="000972A5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8214EF" w:rsidRPr="008214EF" w:rsidRDefault="008214E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D92B7E" w:rsidP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 w:cs="Times New Roman"/>
              </w:rPr>
              <w:t>Усиление норм  системы противопожарной защиты  в границах населенных пунктов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20EB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EB" w:rsidRDefault="00F820EB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92B7E" w:rsidRDefault="00F820EB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2B7E" w:rsidTr="000972A5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0972A5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D92B7E" w:rsidRDefault="00D92B7E" w:rsidP="0009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 w:rsidR="000972A5" w:rsidRPr="000972A5"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  <w:r w:rsidRPr="000972A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675A0"/>
    <w:rsid w:val="000972A5"/>
    <w:rsid w:val="00116782"/>
    <w:rsid w:val="001A2E5C"/>
    <w:rsid w:val="00311B0F"/>
    <w:rsid w:val="00347C85"/>
    <w:rsid w:val="005051AB"/>
    <w:rsid w:val="006202FA"/>
    <w:rsid w:val="00632931"/>
    <w:rsid w:val="00660020"/>
    <w:rsid w:val="007331CC"/>
    <w:rsid w:val="008214EF"/>
    <w:rsid w:val="00832574"/>
    <w:rsid w:val="00965ADD"/>
    <w:rsid w:val="00B46BE9"/>
    <w:rsid w:val="00C56FC0"/>
    <w:rsid w:val="00C91D1A"/>
    <w:rsid w:val="00CC5CE4"/>
    <w:rsid w:val="00D641E4"/>
    <w:rsid w:val="00D92B7E"/>
    <w:rsid w:val="00F820EB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2017-01-30T03:11:00Z</cp:lastPrinted>
  <dcterms:created xsi:type="dcterms:W3CDTF">2017-01-27T00:22:00Z</dcterms:created>
  <dcterms:modified xsi:type="dcterms:W3CDTF">2017-01-30T03:14:00Z</dcterms:modified>
</cp:coreProperties>
</file>